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32"/>
          <w:szCs w:val="32"/>
        </w:rPr>
      </w:pPr>
      <w:bookmarkStart w:colFirst="0" w:colLast="0" w:name="_heading=h.pf6t1gkcnx5v" w:id="0"/>
      <w:bookmarkEnd w:id="0"/>
      <w:r w:rsidDel="00000000" w:rsidR="00000000" w:rsidRPr="00000000">
        <w:rPr>
          <w:sz w:val="32"/>
          <w:szCs w:val="32"/>
          <w:rtl w:val="0"/>
        </w:rPr>
        <w:t xml:space="preserve">Spoke 1</w:t>
      </w:r>
    </w:p>
    <w:p w:rsidR="00000000" w:rsidDel="00000000" w:rsidP="00000000" w:rsidRDefault="00000000" w:rsidRPr="00000000" w14:paraId="00000002">
      <w:pPr>
        <w:pStyle w:val="Heading1"/>
        <w:rPr>
          <w:sz w:val="32"/>
          <w:szCs w:val="32"/>
        </w:rPr>
      </w:pPr>
      <w:bookmarkStart w:colFirst="0" w:colLast="0" w:name="_heading=h.5aer4b25xvg4" w:id="1"/>
      <w:bookmarkEnd w:id="1"/>
      <w:r w:rsidDel="00000000" w:rsidR="00000000" w:rsidRPr="00000000">
        <w:rPr>
          <w:sz w:val="32"/>
          <w:szCs w:val="32"/>
          <w:rtl w:val="0"/>
        </w:rPr>
        <w:t xml:space="preserve">Sostenibilità delle aziende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Organizzazione leader dello Spoke: Università Commerciale Luigi Bocconi</w:t>
      </w:r>
    </w:p>
    <w:p w:rsidR="00000000" w:rsidDel="00000000" w:rsidP="00000000" w:rsidRDefault="00000000" w:rsidRPr="00000000" w14:paraId="00000005">
      <w:pPr>
        <w:rPr/>
      </w:pPr>
      <w:r w:rsidDel="00000000" w:rsidR="00000000" w:rsidRPr="00000000">
        <w:rPr>
          <w:rtl w:val="0"/>
        </w:rPr>
        <w:t xml:space="preserve">Spoke leader: Marco Tortoriello, Marco Frey</w:t>
      </w:r>
    </w:p>
    <w:p w:rsidR="00000000" w:rsidDel="00000000" w:rsidP="00000000" w:rsidRDefault="00000000" w:rsidRPr="00000000" w14:paraId="00000006">
      <w:pPr>
        <w:rPr/>
      </w:pPr>
      <w:r w:rsidDel="00000000" w:rsidR="00000000" w:rsidRPr="00000000">
        <w:rPr>
          <w:rtl w:val="0"/>
        </w:rPr>
        <w:t xml:space="preserve">Link web: https://grins.it/spoke/spoke-1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i w:val="1"/>
          <w:sz w:val="24"/>
          <w:szCs w:val="24"/>
          <w:rtl w:val="0"/>
        </w:rPr>
        <w:t xml:space="preserve">Lo Spoke 1 ha come obiettivo l’individuazione, misurazione e valutazione di strategie e azioni imprenditoriali volte a favorire la sostenibilità ambientale dell’azienda e l’economia circolare. In un’ottica olistica e multidisciplinare, lo Spoke 1 esamina aspetti e metodologie di processi legati alla produzione, consumazione e distribuzione di prodotti a livello internazionale.</w:t>
      </w:r>
      <w:r w:rsidDel="00000000" w:rsidR="00000000" w:rsidRPr="00000000">
        <w:rPr>
          <w:rFonts w:ascii="Arial" w:cs="Arial" w:eastAsia="Arial" w:hAnsi="Arial"/>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Nel 1994, l’economista inglese John Elkington, con l’espressione “</w:t>
      </w:r>
      <w:r w:rsidDel="00000000" w:rsidR="00000000" w:rsidRPr="00000000">
        <w:rPr>
          <w:i w:val="1"/>
          <w:rtl w:val="0"/>
        </w:rPr>
        <w:t xml:space="preserve">Triple Bottom Line</w:t>
      </w:r>
      <w:r w:rsidDel="00000000" w:rsidR="00000000" w:rsidRPr="00000000">
        <w:rPr>
          <w:rtl w:val="0"/>
        </w:rPr>
        <w:t xml:space="preserve">” o “PPP” (</w:t>
      </w:r>
      <w:r w:rsidDel="00000000" w:rsidR="00000000" w:rsidRPr="00000000">
        <w:rPr>
          <w:i w:val="1"/>
          <w:rtl w:val="0"/>
        </w:rPr>
        <w:t xml:space="preserve">Planet</w:t>
      </w:r>
      <w:r w:rsidDel="00000000" w:rsidR="00000000" w:rsidRPr="00000000">
        <w:rPr>
          <w:rtl w:val="0"/>
        </w:rPr>
        <w:t xml:space="preserve">, </w:t>
      </w:r>
      <w:r w:rsidDel="00000000" w:rsidR="00000000" w:rsidRPr="00000000">
        <w:rPr>
          <w:i w:val="1"/>
          <w:rtl w:val="0"/>
        </w:rPr>
        <w:t xml:space="preserve">People</w:t>
      </w:r>
      <w:r w:rsidDel="00000000" w:rsidR="00000000" w:rsidRPr="00000000">
        <w:rPr>
          <w:rtl w:val="0"/>
        </w:rPr>
        <w:t xml:space="preserve">, </w:t>
      </w:r>
      <w:r w:rsidDel="00000000" w:rsidR="00000000" w:rsidRPr="00000000">
        <w:rPr>
          <w:i w:val="1"/>
          <w:rtl w:val="0"/>
        </w:rPr>
        <w:t xml:space="preserve">Profit</w:t>
      </w:r>
      <w:r w:rsidDel="00000000" w:rsidR="00000000" w:rsidRPr="00000000">
        <w:rPr>
          <w:rtl w:val="0"/>
        </w:rPr>
        <w:t xml:space="preserve">), sintetizzò l’idea di un business sostenibile volto ad incoraggiare strategie e decisioni aziendali finalizzate al raggiungimento della sostenibilità ambientale, sociale ed economica, di conseguenza in grado di valorizzare simultaneamente (i) l’ambiente (</w:t>
      </w:r>
      <w:r w:rsidDel="00000000" w:rsidR="00000000" w:rsidRPr="00000000">
        <w:rPr>
          <w:i w:val="1"/>
          <w:rtl w:val="0"/>
        </w:rPr>
        <w:t xml:space="preserve">planet</w:t>
      </w:r>
      <w:r w:rsidDel="00000000" w:rsidR="00000000" w:rsidRPr="00000000">
        <w:rPr>
          <w:rtl w:val="0"/>
        </w:rPr>
        <w:t xml:space="preserve">), (ii) il contesto sociale (</w:t>
      </w:r>
      <w:r w:rsidDel="00000000" w:rsidR="00000000" w:rsidRPr="00000000">
        <w:rPr>
          <w:i w:val="1"/>
          <w:rtl w:val="0"/>
        </w:rPr>
        <w:t xml:space="preserve">people</w:t>
      </w:r>
      <w:r w:rsidDel="00000000" w:rsidR="00000000" w:rsidRPr="00000000">
        <w:rPr>
          <w:rtl w:val="0"/>
        </w:rPr>
        <w:t xml:space="preserve">) e (iii) l’aspetto economico-finanziario (</w:t>
      </w:r>
      <w:r w:rsidDel="00000000" w:rsidR="00000000" w:rsidRPr="00000000">
        <w:rPr>
          <w:i w:val="1"/>
          <w:rtl w:val="0"/>
        </w:rPr>
        <w:t xml:space="preserve">profit</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Nell’ambito della </w:t>
      </w:r>
      <w:r w:rsidDel="00000000" w:rsidR="00000000" w:rsidRPr="00000000">
        <w:rPr>
          <w:i w:val="1"/>
          <w:rtl w:val="0"/>
        </w:rPr>
        <w:t xml:space="preserve">Triple Bottom Line</w:t>
      </w:r>
      <w:r w:rsidDel="00000000" w:rsidR="00000000" w:rsidRPr="00000000">
        <w:rPr>
          <w:rtl w:val="0"/>
        </w:rPr>
        <w:t xml:space="preserve">, il riferimento alla dimensione “</w:t>
      </w:r>
      <w:r w:rsidDel="00000000" w:rsidR="00000000" w:rsidRPr="00000000">
        <w:rPr>
          <w:i w:val="1"/>
          <w:rtl w:val="0"/>
        </w:rPr>
        <w:t xml:space="preserve">Planet</w:t>
      </w:r>
      <w:r w:rsidDel="00000000" w:rsidR="00000000" w:rsidRPr="00000000">
        <w:rPr>
          <w:rtl w:val="0"/>
        </w:rPr>
        <w:t xml:space="preserve">” suggerisce l’importanza di perseguire un’impronta ecologica responsabile che incoraggi pratiche aziendali rispettose dell’ambiente. La componente “</w:t>
      </w:r>
      <w:r w:rsidDel="00000000" w:rsidR="00000000" w:rsidRPr="00000000">
        <w:rPr>
          <w:i w:val="1"/>
          <w:rtl w:val="0"/>
        </w:rPr>
        <w:t xml:space="preserve">People</w:t>
      </w:r>
      <w:r w:rsidDel="00000000" w:rsidR="00000000" w:rsidRPr="00000000">
        <w:rPr>
          <w:rtl w:val="0"/>
        </w:rPr>
        <w:t xml:space="preserve">” evidenzia la necessità di un impegno verso la Responsabilità Sociale d’Impresa (RSI) (o </w:t>
      </w:r>
      <w:r w:rsidDel="00000000" w:rsidR="00000000" w:rsidRPr="00000000">
        <w:rPr>
          <w:i w:val="1"/>
          <w:rtl w:val="0"/>
        </w:rPr>
        <w:t xml:space="preserve">Corporate Social Responsibility</w:t>
      </w:r>
      <w:r w:rsidDel="00000000" w:rsidR="00000000" w:rsidRPr="00000000">
        <w:rPr>
          <w:rtl w:val="0"/>
        </w:rPr>
        <w:t xml:space="preserve">), ed il benessere delle comunità in cui le aziende operano. L’aspetto “Profit”,  invece, è inserito in un contesto più ampio, in cui la redditività economica indispensabile per garantire la sopravvivenza dell’azienda nel tempo, è intesa come parte di un quadro più completo, in cui il successo finanziario è raggiunto in armonia con gli obiettivi ambientali e sociali.</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Ad oggi, i criteri utilizzati per verificare e sostenere l’impegno di un'impresa o di una organizzazione in termini di sostenibilità sono racchiusi nell’acronimo ‘ESG’ (</w:t>
      </w:r>
      <w:r w:rsidDel="00000000" w:rsidR="00000000" w:rsidRPr="00000000">
        <w:rPr>
          <w:i w:val="1"/>
          <w:rtl w:val="0"/>
        </w:rPr>
        <w:t xml:space="preserve">Environmental</w:t>
      </w:r>
      <w:r w:rsidDel="00000000" w:rsidR="00000000" w:rsidRPr="00000000">
        <w:rPr>
          <w:rtl w:val="0"/>
        </w:rPr>
        <w:t xml:space="preserve">, </w:t>
      </w:r>
      <w:r w:rsidDel="00000000" w:rsidR="00000000" w:rsidRPr="00000000">
        <w:rPr>
          <w:i w:val="1"/>
          <w:rtl w:val="0"/>
        </w:rPr>
        <w:t xml:space="preserve">Social</w:t>
      </w:r>
      <w:r w:rsidDel="00000000" w:rsidR="00000000" w:rsidRPr="00000000">
        <w:rPr>
          <w:rtl w:val="0"/>
        </w:rPr>
        <w:t xml:space="preserve">, </w:t>
      </w:r>
      <w:r w:rsidDel="00000000" w:rsidR="00000000" w:rsidRPr="00000000">
        <w:rPr>
          <w:i w:val="1"/>
          <w:rtl w:val="0"/>
        </w:rPr>
        <w:t xml:space="preserve">Governance</w:t>
      </w:r>
      <w:r w:rsidDel="00000000" w:rsidR="00000000" w:rsidRPr="00000000">
        <w:rPr>
          <w:rtl w:val="0"/>
        </w:rPr>
        <w:t xml:space="preserve">), in base al quale, un’azienda si può definire ‘sostenibile’ se, nel perseguire un profitto economico durevole, intraprende azioni e policy mirate che rispettino e tutelino l’ambiente e il benessere sociale e che più in generale siano finalizzate a creare valore per tutti gli stakeholders coinvolti nei processi e nelle pratiche dell’organizzazione stessa.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merito alla crescente attenzione alla sostenibilità aziendale, assume particolare rilevanza a livello europeo l’introduzione da parte dell’Unione della Direttiva n. 2022/2464 riguardante la rendicontazione societaria di sostenibilità (</w:t>
      </w:r>
      <w:r w:rsidDel="00000000" w:rsidR="00000000" w:rsidRPr="00000000">
        <w:rPr>
          <w:i w:val="1"/>
          <w:rtl w:val="0"/>
        </w:rPr>
        <w:t xml:space="preserve">Corporate Sustainability Reporting Directive</w:t>
      </w:r>
      <w:r w:rsidDel="00000000" w:rsidR="00000000" w:rsidRPr="00000000">
        <w:rPr>
          <w:rtl w:val="0"/>
        </w:rPr>
        <w:t xml:space="preserve"> - CSRD)</w:t>
      </w:r>
      <w:r w:rsidDel="00000000" w:rsidR="00000000" w:rsidRPr="00000000">
        <w:rPr>
          <w:vertAlign w:val="superscript"/>
        </w:rPr>
        <w:footnoteReference w:customMarkFollows="0" w:id="0"/>
      </w:r>
      <w:r w:rsidDel="00000000" w:rsidR="00000000" w:rsidRPr="00000000">
        <w:rPr>
          <w:rtl w:val="0"/>
        </w:rPr>
        <w:t xml:space="preserve">, avvenuta il 16 dicembre 2022. </w:t>
      </w:r>
      <w:r w:rsidDel="00000000" w:rsidR="00000000" w:rsidRPr="00000000">
        <w:rPr>
          <w:color w:val="161616"/>
          <w:highlight w:val="white"/>
          <w:rtl w:val="0"/>
        </w:rPr>
        <w:t xml:space="preserve">La CSRD</w:t>
      </w:r>
      <w:r w:rsidDel="00000000" w:rsidR="00000000" w:rsidRPr="00000000">
        <w:rPr>
          <w:rtl w:val="0"/>
        </w:rPr>
        <w:t xml:space="preserve">, in vigore dal 5 gennaio 2023,</w:t>
      </w:r>
      <w:r w:rsidDel="00000000" w:rsidR="00000000" w:rsidRPr="00000000">
        <w:rPr>
          <w:color w:val="161616"/>
          <w:highlight w:val="white"/>
          <w:rtl w:val="0"/>
        </w:rPr>
        <w:t xml:space="preserve"> </w:t>
      </w:r>
      <w:r w:rsidDel="00000000" w:rsidR="00000000" w:rsidRPr="00000000">
        <w:rPr>
          <w:rtl w:val="0"/>
        </w:rPr>
        <w:t xml:space="preserve">mira ad assicurare, in una prospettiva estesa alla riduzione del rischio climatico e al miglioramento complessivo della sostenibilità dell’UE, maggiore trasparenza nell’accesso alle informazioni affinché gli investitori, analisti, consumatori ed altri stakeholder riescano a valutare in modo adeguato i profili di sostenibilità delle aziende dell’UE, nonché gli impatti e i rischi aziendali correlati. La CSRD impone a tutte le grandi imprese e a tutte le società quotate (ad eccezione delle microimprese quotate) - di riferire sull’impatto ambientale e sociale delle loro attività e sull’impatto aziendale dei loro sforzi e delle loro iniziative ambientali, sociali e di governance (ESG). </w:t>
      </w:r>
    </w:p>
    <w:p w:rsidR="00000000" w:rsidDel="00000000" w:rsidP="00000000" w:rsidRDefault="00000000" w:rsidRPr="00000000" w14:paraId="00000011">
      <w:pPr>
        <w:rPr>
          <w:color w:val="161616"/>
          <w:highlight w:val="white"/>
        </w:rPr>
      </w:pPr>
      <w:r w:rsidDel="00000000" w:rsidR="00000000" w:rsidRPr="00000000">
        <w:rPr>
          <w:rtl w:val="0"/>
        </w:rPr>
      </w:r>
    </w:p>
    <w:p w:rsidR="00000000" w:rsidDel="00000000" w:rsidP="00000000" w:rsidRDefault="00000000" w:rsidRPr="00000000" w14:paraId="00000012">
      <w:pPr>
        <w:rPr>
          <w:color w:val="161616"/>
        </w:rPr>
      </w:pPr>
      <w:r w:rsidDel="00000000" w:rsidR="00000000" w:rsidRPr="00000000">
        <w:rPr>
          <w:rtl w:val="0"/>
        </w:rPr>
        <w:t xml:space="preserve">Al fine di soddisfare gli obblighi di comunicazione della CSRD, nel 2023, l’EFRAG</w:t>
      </w:r>
      <w:r w:rsidDel="00000000" w:rsidR="00000000" w:rsidRPr="00000000">
        <w:rPr>
          <w:vertAlign w:val="superscript"/>
        </w:rPr>
        <w:footnoteReference w:customMarkFollows="0" w:id="1"/>
      </w:r>
      <w:r w:rsidDel="00000000" w:rsidR="00000000" w:rsidRPr="00000000">
        <w:rPr>
          <w:rtl w:val="0"/>
        </w:rPr>
        <w:t xml:space="preserve"> (</w:t>
      </w:r>
      <w:r w:rsidDel="00000000" w:rsidR="00000000" w:rsidRPr="00000000">
        <w:rPr>
          <w:i w:val="1"/>
          <w:rtl w:val="0"/>
        </w:rPr>
        <w:t xml:space="preserve">European Financial Reporting Advisory Group)</w:t>
      </w:r>
      <w:r w:rsidDel="00000000" w:rsidR="00000000" w:rsidRPr="00000000">
        <w:rPr>
          <w:rtl w:val="0"/>
        </w:rPr>
        <w:t xml:space="preserve">, ha emanato gli </w:t>
      </w:r>
      <w:r w:rsidDel="00000000" w:rsidR="00000000" w:rsidRPr="00000000">
        <w:rPr>
          <w:i w:val="1"/>
          <w:rtl w:val="0"/>
        </w:rPr>
        <w:t xml:space="preserve">European Sustainability Reporting Standards</w:t>
      </w:r>
      <w:r w:rsidDel="00000000" w:rsidR="00000000" w:rsidRPr="00000000">
        <w:rPr>
          <w:rtl w:val="0"/>
        </w:rPr>
        <w:t xml:space="preserve"> (ESRS). Gli ESRS mirano a standardizzare la divulgazione di informazioni sostenibili, garantendo che le aziende riportino in maniera affidabile e comparabile il loro impatto sull’ambiente, sulla società e sulla governance. La CSRD e gli ESRS pongono le basi per una migliore comprensione e valutazione delle pratiche sostenibili nelle aziende, offrendo un quadro rilevante per iniziative come quelle dello Spoke 1, che si focalizza sul’'individuazione, misurazione e valutazione di strategie e azioni imprenditoriali volte a promuovere la sostenibilità ambientale e l’economia circolare.</w:t>
      </w:r>
      <w:r w:rsidDel="00000000" w:rsidR="00000000" w:rsidRPr="00000000">
        <w:rPr>
          <w:rtl w:val="0"/>
        </w:rPr>
      </w:r>
    </w:p>
    <w:p w:rsidR="00000000" w:rsidDel="00000000" w:rsidP="00000000" w:rsidRDefault="00000000" w:rsidRPr="00000000" w14:paraId="00000013">
      <w:pPr>
        <w:rPr>
          <w:color w:val="161616"/>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 particolare, il progetto intende sviluppare un approccio olistico e multidisciplinare, tenendo conto della produzione e degli approcci processuali a livello aziendale e, allo stesso tempo, del consumo, dei prodotti e degli aspetti legati alle catene di fornitura globali, compreso la fine del ciclo di vita dei prodotti.</w:t>
      </w:r>
    </w:p>
    <w:p w:rsidR="00000000" w:rsidDel="00000000" w:rsidP="00000000" w:rsidRDefault="00000000" w:rsidRPr="00000000" w14:paraId="00000015">
      <w:pPr>
        <w:spacing w:before="280" w:lineRule="auto"/>
        <w:rPr>
          <w:rFonts w:ascii="Arial" w:cs="Arial" w:eastAsia="Arial" w:hAnsi="Arial"/>
        </w:rPr>
      </w:pPr>
      <w:r w:rsidDel="00000000" w:rsidR="00000000" w:rsidRPr="00000000">
        <w:rPr>
          <w:rtl w:val="0"/>
        </w:rPr>
        <w:t xml:space="preserve">Il progetto presta particolare attenzione all’aumento della resilienza delle aziende e delle catene di fornitura ai cambiamenti climatici e ad altri rischi.</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17">
      <w:pPr>
        <w:pStyle w:val="Heading2"/>
        <w:rPr/>
      </w:pPr>
      <w:bookmarkStart w:colFirst="0" w:colLast="0" w:name="_heading=h.lgh37q1s6o21" w:id="2"/>
      <w:bookmarkEnd w:id="2"/>
      <w:r w:rsidDel="00000000" w:rsidR="00000000" w:rsidRPr="00000000">
        <w:rPr>
          <w:rtl w:val="0"/>
        </w:rPr>
        <w:t xml:space="preserve">Spoke 1 in breve</w:t>
      </w:r>
    </w:p>
    <w:p w:rsidR="00000000" w:rsidDel="00000000" w:rsidP="00000000" w:rsidRDefault="00000000" w:rsidRPr="00000000" w14:paraId="00000018">
      <w:pPr>
        <w:numPr>
          <w:ilvl w:val="0"/>
          <w:numId w:val="1"/>
        </w:numPr>
        <w:spacing w:line="240" w:lineRule="auto"/>
        <w:ind w:left="720" w:hanging="360"/>
        <w:rPr>
          <w:sz w:val="18"/>
          <w:szCs w:val="18"/>
        </w:rPr>
      </w:pPr>
      <w:r w:rsidDel="00000000" w:rsidR="00000000" w:rsidRPr="00000000">
        <w:rPr>
          <w:rtl w:val="0"/>
        </w:rPr>
        <w:t xml:space="preserve">Indicatori orientati all’ESG</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sz w:val="18"/>
          <w:szCs w:val="18"/>
        </w:rPr>
      </w:pPr>
      <w:r w:rsidDel="00000000" w:rsidR="00000000" w:rsidRPr="00000000">
        <w:rPr>
          <w:rtl w:val="0"/>
        </w:rPr>
        <w:t xml:space="preserve">Value chain di imprese/settori attraverso la sostenibilità</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sz w:val="18"/>
          <w:szCs w:val="18"/>
        </w:rPr>
      </w:pPr>
      <w:r w:rsidDel="00000000" w:rsidR="00000000" w:rsidRPr="00000000">
        <w:rPr>
          <w:rtl w:val="0"/>
        </w:rPr>
        <w:t xml:space="preserve">Economia circolare nella rete di imprese locali</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sz w:val="18"/>
          <w:szCs w:val="18"/>
        </w:rPr>
      </w:pPr>
      <w:r w:rsidDel="00000000" w:rsidR="00000000" w:rsidRPr="00000000">
        <w:rPr>
          <w:rtl w:val="0"/>
        </w:rPr>
        <w:t xml:space="preserve">Resilienza delle imprese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heading=h.cn0gnvs9v462" w:id="3"/>
      <w:bookmarkEnd w:id="3"/>
      <w:r w:rsidDel="00000000" w:rsidR="00000000" w:rsidRPr="00000000">
        <w:rPr>
          <w:rtl w:val="0"/>
        </w:rPr>
        <w:t xml:space="preserve">Enti partecipanti</w:t>
      </w:r>
    </w:p>
    <w:p w:rsidR="00000000" w:rsidDel="00000000" w:rsidP="00000000" w:rsidRDefault="00000000" w:rsidRPr="00000000" w14:paraId="0000001E">
      <w:pPr>
        <w:numPr>
          <w:ilvl w:val="0"/>
          <w:numId w:val="2"/>
        </w:numPr>
        <w:ind w:left="720" w:hanging="360"/>
        <w:rPr>
          <w:sz w:val="18"/>
          <w:szCs w:val="18"/>
        </w:rPr>
      </w:pPr>
      <w:r w:rsidDel="00000000" w:rsidR="00000000" w:rsidRPr="00000000">
        <w:rPr>
          <w:rtl w:val="0"/>
        </w:rPr>
        <w:t xml:space="preserve">Università di Bologna</w:t>
      </w:r>
      <w:r w:rsidDel="00000000" w:rsidR="00000000" w:rsidRPr="00000000">
        <w:rPr>
          <w:rtl w:val="0"/>
        </w:rPr>
      </w:r>
    </w:p>
    <w:p w:rsidR="00000000" w:rsidDel="00000000" w:rsidP="00000000" w:rsidRDefault="00000000" w:rsidRPr="00000000" w14:paraId="0000001F">
      <w:pPr>
        <w:numPr>
          <w:ilvl w:val="0"/>
          <w:numId w:val="2"/>
        </w:numPr>
        <w:ind w:left="720" w:hanging="360"/>
        <w:rPr>
          <w:sz w:val="18"/>
          <w:szCs w:val="18"/>
        </w:rPr>
      </w:pPr>
      <w:r w:rsidDel="00000000" w:rsidR="00000000" w:rsidRPr="00000000">
        <w:rPr>
          <w:rtl w:val="0"/>
        </w:rPr>
        <w:t xml:space="preserve">Università degli Studi di Catania</w:t>
      </w:r>
      <w:r w:rsidDel="00000000" w:rsidR="00000000" w:rsidRPr="00000000">
        <w:rPr>
          <w:rtl w:val="0"/>
        </w:rPr>
      </w:r>
    </w:p>
    <w:p w:rsidR="00000000" w:rsidDel="00000000" w:rsidP="00000000" w:rsidRDefault="00000000" w:rsidRPr="00000000" w14:paraId="00000020">
      <w:pPr>
        <w:numPr>
          <w:ilvl w:val="0"/>
          <w:numId w:val="2"/>
        </w:numPr>
        <w:ind w:left="720" w:hanging="360"/>
        <w:rPr>
          <w:sz w:val="18"/>
          <w:szCs w:val="18"/>
        </w:rPr>
      </w:pPr>
      <w:r w:rsidDel="00000000" w:rsidR="00000000" w:rsidRPr="00000000">
        <w:rPr>
          <w:rtl w:val="0"/>
        </w:rPr>
        <w:t xml:space="preserve">Università degli Studi di Padova</w:t>
      </w:r>
      <w:r w:rsidDel="00000000" w:rsidR="00000000" w:rsidRPr="00000000">
        <w:rPr>
          <w:rtl w:val="0"/>
        </w:rPr>
      </w:r>
    </w:p>
    <w:p w:rsidR="00000000" w:rsidDel="00000000" w:rsidP="00000000" w:rsidRDefault="00000000" w:rsidRPr="00000000" w14:paraId="00000021">
      <w:pPr>
        <w:numPr>
          <w:ilvl w:val="0"/>
          <w:numId w:val="2"/>
        </w:numPr>
        <w:ind w:left="720" w:hanging="360"/>
        <w:rPr>
          <w:sz w:val="18"/>
          <w:szCs w:val="18"/>
        </w:rPr>
      </w:pPr>
      <w:r w:rsidDel="00000000" w:rsidR="00000000" w:rsidRPr="00000000">
        <w:rPr>
          <w:rtl w:val="0"/>
        </w:rPr>
        <w:t xml:space="preserve">Università degli Studi di Torino</w:t>
      </w:r>
      <w:r w:rsidDel="00000000" w:rsidR="00000000" w:rsidRPr="00000000">
        <w:rPr>
          <w:rtl w:val="0"/>
        </w:rPr>
      </w:r>
    </w:p>
    <w:p w:rsidR="00000000" w:rsidDel="00000000" w:rsidP="00000000" w:rsidRDefault="00000000" w:rsidRPr="00000000" w14:paraId="00000022">
      <w:pPr>
        <w:numPr>
          <w:ilvl w:val="0"/>
          <w:numId w:val="2"/>
        </w:numPr>
        <w:ind w:left="720" w:hanging="360"/>
        <w:rPr>
          <w:sz w:val="18"/>
          <w:szCs w:val="18"/>
        </w:rPr>
      </w:pPr>
      <w:r w:rsidDel="00000000" w:rsidR="00000000" w:rsidRPr="00000000">
        <w:rPr>
          <w:rtl w:val="0"/>
        </w:rPr>
        <w:t xml:space="preserve">Università Ca’ Foscari Venezia</w:t>
      </w:r>
      <w:r w:rsidDel="00000000" w:rsidR="00000000" w:rsidRPr="00000000">
        <w:rPr>
          <w:rtl w:val="0"/>
        </w:rPr>
      </w:r>
    </w:p>
    <w:p w:rsidR="00000000" w:rsidDel="00000000" w:rsidP="00000000" w:rsidRDefault="00000000" w:rsidRPr="00000000" w14:paraId="00000023">
      <w:pPr>
        <w:numPr>
          <w:ilvl w:val="0"/>
          <w:numId w:val="2"/>
        </w:numPr>
        <w:ind w:left="720" w:hanging="360"/>
        <w:rPr>
          <w:sz w:val="18"/>
          <w:szCs w:val="18"/>
        </w:rPr>
      </w:pPr>
      <w:r w:rsidDel="00000000" w:rsidR="00000000" w:rsidRPr="00000000">
        <w:rPr>
          <w:rtl w:val="0"/>
        </w:rPr>
        <w:t xml:space="preserve">Università degli Studi di Roma Tor Vergata</w:t>
      </w:r>
      <w:r w:rsidDel="00000000" w:rsidR="00000000" w:rsidRPr="00000000">
        <w:rPr>
          <w:rtl w:val="0"/>
        </w:rPr>
      </w:r>
    </w:p>
    <w:p w:rsidR="00000000" w:rsidDel="00000000" w:rsidP="00000000" w:rsidRDefault="00000000" w:rsidRPr="00000000" w14:paraId="00000024">
      <w:pPr>
        <w:numPr>
          <w:ilvl w:val="0"/>
          <w:numId w:val="2"/>
        </w:numPr>
        <w:ind w:left="720" w:hanging="360"/>
        <w:rPr>
          <w:sz w:val="18"/>
          <w:szCs w:val="18"/>
        </w:rPr>
      </w:pPr>
      <w:r w:rsidDel="00000000" w:rsidR="00000000" w:rsidRPr="00000000">
        <w:rPr>
          <w:rtl w:val="0"/>
        </w:rPr>
        <w:t xml:space="preserve">Scuola Superiore Sant’Anna</w:t>
      </w:r>
      <w:r w:rsidDel="00000000" w:rsidR="00000000" w:rsidRPr="00000000">
        <w:rPr>
          <w:rtl w:val="0"/>
        </w:rPr>
      </w:r>
    </w:p>
    <w:p w:rsidR="00000000" w:rsidDel="00000000" w:rsidP="00000000" w:rsidRDefault="00000000" w:rsidRPr="00000000" w14:paraId="00000025">
      <w:pPr>
        <w:numPr>
          <w:ilvl w:val="0"/>
          <w:numId w:val="2"/>
        </w:numPr>
        <w:ind w:left="720" w:hanging="360"/>
        <w:rPr>
          <w:sz w:val="18"/>
          <w:szCs w:val="18"/>
        </w:rPr>
      </w:pPr>
      <w:r w:rsidDel="00000000" w:rsidR="00000000" w:rsidRPr="00000000">
        <w:rPr>
          <w:rtl w:val="0"/>
        </w:rPr>
        <w:t xml:space="preserve">Centro Studi delle Camere di Commercio Guglielmo Tagliacarne</w:t>
      </w:r>
      <w:r w:rsidDel="00000000" w:rsidR="00000000" w:rsidRPr="00000000">
        <w:rPr>
          <w:rtl w:val="0"/>
        </w:rPr>
      </w:r>
    </w:p>
    <w:p w:rsidR="00000000" w:rsidDel="00000000" w:rsidP="00000000" w:rsidRDefault="00000000" w:rsidRPr="00000000" w14:paraId="00000026">
      <w:pPr>
        <w:numPr>
          <w:ilvl w:val="0"/>
          <w:numId w:val="2"/>
        </w:numPr>
        <w:ind w:left="720" w:hanging="360"/>
        <w:rPr>
          <w:sz w:val="18"/>
          <w:szCs w:val="18"/>
        </w:rPr>
      </w:pPr>
      <w:r w:rsidDel="00000000" w:rsidR="00000000" w:rsidRPr="00000000">
        <w:rPr>
          <w:rtl w:val="0"/>
        </w:rPr>
        <w:t xml:space="preserve">Leithà s.r.l</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28">
      <w:pPr>
        <w:pStyle w:val="Heading2"/>
        <w:rPr/>
      </w:pPr>
      <w:bookmarkStart w:colFirst="0" w:colLast="0" w:name="_heading=h.zf2q3e9g94vm" w:id="4"/>
      <w:bookmarkEnd w:id="4"/>
      <w:r w:rsidDel="00000000" w:rsidR="00000000" w:rsidRPr="00000000">
        <w:rPr>
          <w:rtl w:val="0"/>
        </w:rPr>
        <w:t xml:space="preserve">W.P 1.1 - Definire strategie e strumenti per coinvolgere efficacemente i consumatori nella transizione ecologica e digitale</w:t>
      </w:r>
    </w:p>
    <w:p w:rsidR="00000000" w:rsidDel="00000000" w:rsidP="00000000" w:rsidRDefault="00000000" w:rsidRPr="00000000" w14:paraId="00000029">
      <w:pPr>
        <w:rPr/>
      </w:pPr>
      <w:r w:rsidDel="00000000" w:rsidR="00000000" w:rsidRPr="00000000">
        <w:rPr>
          <w:rtl w:val="0"/>
        </w:rPr>
        <w:t xml:space="preserve">Il Work Package 1.1 approfondisce il ruolo centrale dei consumatori nella transizione ecologica, focalizzandosi sull’identificazione di fattori, strategie e strumenti che possono essere sviluppati e adottati da aziende e altri attori istituzionali.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L’obiettivo principale è elevare la capacità dei consumatori di contribuire in modo significativo a un’economia sostenibile attraverso l’implementazione di approcci mirati. Questo implica non solo la comprensione dei driver dei comportamenti sostenibili, ma anche la progettazione di soluzioni pratiche che facilitino e incentivano tali comportamenti.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Il Work Package si propone di fornire approfondimenti chiave e soluzioni concrete per promuovere la consapevolezza ambientale e l’adozione di pratiche sostenibili tra i consumatori, contribuendo così alla realizzazione di una transizione ecologica efficace e partecipativa.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212529"/>
        </w:rPr>
      </w:pPr>
      <w:r w:rsidDel="00000000" w:rsidR="00000000" w:rsidRPr="00000000">
        <w:rPr>
          <w:rtl w:val="0"/>
        </w:rPr>
      </w:r>
    </w:p>
    <w:p w:rsidR="00000000" w:rsidDel="00000000" w:rsidP="00000000" w:rsidRDefault="00000000" w:rsidRPr="00000000" w14:paraId="0000002F">
      <w:pPr>
        <w:pStyle w:val="Heading2"/>
        <w:jc w:val="left"/>
        <w:rPr/>
      </w:pPr>
      <w:bookmarkStart w:colFirst="0" w:colLast="0" w:name="_heading=h.2no0iic5a45t" w:id="5"/>
      <w:bookmarkEnd w:id="5"/>
      <w:r w:rsidDel="00000000" w:rsidR="00000000" w:rsidRPr="00000000">
        <w:rPr>
          <w:rtl w:val="0"/>
        </w:rPr>
        <w:t xml:space="preserve">W.P 1.2 - Migliorare la resilienza delle imprese agli shock esterni e agli sconvolgimenti ambientali</w:t>
      </w:r>
    </w:p>
    <w:p w:rsidR="00000000" w:rsidDel="00000000" w:rsidP="00000000" w:rsidRDefault="00000000" w:rsidRPr="00000000" w14:paraId="00000030">
      <w:pPr>
        <w:rPr/>
      </w:pPr>
      <w:r w:rsidDel="00000000" w:rsidR="00000000" w:rsidRPr="00000000">
        <w:rPr>
          <w:rtl w:val="0"/>
        </w:rPr>
        <w:t xml:space="preserve">Il Work Package 1.2 vuole delineare gli strumenti che le aziende possono applicare per ridurre i rischi e aumentare la resilienza e la sostenibilità contro le interruzioni impreviste. Il team di ricerca indaga quali possano essere gli eventuali effetti delle perturbazioni derivanti da eventi come le interruzioni della catena di approvvigionamento, nuove tecnologie, cambiamenti climatici, disastri naturali, tensioni geopolitiche, etc.</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Inoltre, il Work Package intende rispondere alla domanda di quali siano le pratiche manageriali che supportano la resilienza e la sostenibilità. In particolare, i ricercatori si concentreranno sui seguenti strumenti: (i) maggiore flessibilità e agilità delle aziende; (ii) soluzioni</w:t>
      </w:r>
      <w:r w:rsidDel="00000000" w:rsidR="00000000" w:rsidRPr="00000000">
        <w:rPr>
          <w:i w:val="1"/>
          <w:rtl w:val="0"/>
        </w:rPr>
        <w:t xml:space="preserve"> end-to-end</w:t>
      </w:r>
      <w:r w:rsidDel="00000000" w:rsidR="00000000" w:rsidRPr="00000000">
        <w:rPr>
          <w:rtl w:val="0"/>
        </w:rPr>
        <w:t xml:space="preserve"> che riducono al minimo l’impatto ambientale; (iii) forza lavoro qualificata e di talento; (iiii) controlli organizzativi volti a promuovere la resilienza nelle organizzazioni.</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80" w:lineRule="auto"/>
        <w:rPr>
          <w:rFonts w:ascii="Arial" w:cs="Arial" w:eastAsia="Arial" w:hAnsi="Arial"/>
          <w:color w:val="212529"/>
        </w:rPr>
      </w:pPr>
      <w:r w:rsidDel="00000000" w:rsidR="00000000" w:rsidRPr="00000000">
        <w:rPr>
          <w:rtl w:val="0"/>
        </w:rPr>
      </w:r>
    </w:p>
    <w:p w:rsidR="00000000" w:rsidDel="00000000" w:rsidP="00000000" w:rsidRDefault="00000000" w:rsidRPr="00000000" w14:paraId="00000034">
      <w:pPr>
        <w:pStyle w:val="Heading2"/>
        <w:rPr/>
      </w:pPr>
      <w:bookmarkStart w:colFirst="0" w:colLast="0" w:name="_heading=h.9k025vvt81uo" w:id="6"/>
      <w:bookmarkEnd w:id="6"/>
      <w:r w:rsidDel="00000000" w:rsidR="00000000" w:rsidRPr="00000000">
        <w:rPr>
          <w:rtl w:val="0"/>
        </w:rPr>
        <w:t xml:space="preserve">W.P 1.3 - Aumentare l’efficienza delle imprese nella gestione circolare delle risorse lungo l’intera catena del valore</w:t>
      </w:r>
    </w:p>
    <w:p w:rsidR="00000000" w:rsidDel="00000000" w:rsidP="00000000" w:rsidRDefault="00000000" w:rsidRPr="00000000" w14:paraId="00000035">
      <w:pPr>
        <w:rPr/>
      </w:pPr>
      <w:r w:rsidDel="00000000" w:rsidR="00000000" w:rsidRPr="00000000">
        <w:rPr>
          <w:rtl w:val="0"/>
        </w:rPr>
        <w:t xml:space="preserve">Il Work Package 1.3 si concentra sulla valutazione degli impatti ambientali nel settore aziendale, includendo la gestione delle catene di approvvigionamento e i processi di riallocazione, con un focus particolare su settori come l’agroalimentare e i distretti industriali. L'obiettivo di questo lavoro è di supportare le aziende nell'adottare strategie e strumenti efficienti e circolari, nonché nello sviluppo e implementazione di soluzioni sostenibili e innovative.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Tra le attività principali del Work Package 1.3 vi è l'esplorazione del ruolo dei consumatori nella (co)progettazione di prodotti innovativi e servizi sostenibili. Ciò include l'identificazione di strategie e strumenti che possano aiutare le aziende e le catene di approvvigionamento a migliorare le loro risposte ai cambiamenti climatici e a riorientare i loro modelli di business verso un'economia a basse emissioni di carbonio.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t xml:space="preserve">Inoltre, il Work Package si dedica all'identificazione di azioni tecniche che possono assistere le aziende nel passaggio a percorsi di economia circolare, anche attraverso l'identificazione di processi di simbiosi industriale. L'identificazione delle migliori pratiche e lo sviluppo di analisi empiriche multidisciplinari su questioni aziendali e degli ecosistemi pertinenti nell'ambito dell'economia circolare supporteranno la costruzione di modelli di simulazione per valutazioni di impatto a lungo termine.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280" w:lineRule="auto"/>
        <w:rPr>
          <w:rFonts w:ascii="Arial" w:cs="Arial" w:eastAsia="Arial" w:hAnsi="Arial"/>
          <w:color w:val="212529"/>
        </w:rPr>
      </w:pPr>
      <w:r w:rsidDel="00000000" w:rsidR="00000000" w:rsidRPr="00000000">
        <w:rPr>
          <w:rtl w:val="0"/>
        </w:rPr>
      </w:r>
    </w:p>
    <w:p w:rsidR="00000000" w:rsidDel="00000000" w:rsidP="00000000" w:rsidRDefault="00000000" w:rsidRPr="00000000" w14:paraId="0000003B">
      <w:pPr>
        <w:pStyle w:val="Heading2"/>
        <w:jc w:val="left"/>
        <w:rPr/>
      </w:pPr>
      <w:bookmarkStart w:colFirst="0" w:colLast="0" w:name="_heading=h.afni8piz61k6" w:id="7"/>
      <w:bookmarkEnd w:id="7"/>
      <w:r w:rsidDel="00000000" w:rsidR="00000000" w:rsidRPr="00000000">
        <w:rPr>
          <w:rtl w:val="0"/>
        </w:rPr>
        <w:t xml:space="preserve">W.P 1.4 - Migliorare la produzione di valore dei territori supportando la sostenibilità del business</w:t>
      </w:r>
    </w:p>
    <w:p w:rsidR="00000000" w:rsidDel="00000000" w:rsidP="00000000" w:rsidRDefault="00000000" w:rsidRPr="00000000" w14:paraId="0000003C">
      <w:pPr>
        <w:rPr>
          <w:b w:val="1"/>
          <w:color w:val="ffffff"/>
          <w:highlight w:val="red"/>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Il Work Package 1.4, focalizzandosi sul concetto di sostenibilità d'impresa, realizza  anzitutto una mappatura dettagliata della sostenibilità nelle piccole e medie imprese (PMI) operanti nelle diverse regioni italiane. Questo processo include l'analisi di diversi aspetti aziendali, come la contabilità finanziaria e gestionale, la reportistica sulla responsabilità sociale (CSR), variabili di corporate governance, elementi chiave organizzativi, modelli di business, strategie, pratiche, convinzioni, finalità e collaborazioni intersettoriali.</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 parallelo, viene realizzata una clusterizzazione completa delle pratiche di gestione aziendale presenti in questi territori. Questo significa raggruppare e analizzare i diversi modi in cui le aziende gestiscono le loro attività, per identificare pattern comuni o best practices.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Infine, un altro aspetto cruciale del progetto è la misurazione della sostenibilità d'impresa nei territori pilota, che include distretti industriali, filiere e reti di imprese. Questa valutazione tiene conto dei fattori ambientali, sociali e di governance (ESG), e sarà anche correlata ai trend macroeconomici.</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5">
      <w:pPr>
        <w:spacing w:line="240" w:lineRule="auto"/>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color w:val="1155cc"/>
            <w:u w:val="single"/>
            <w:rtl w:val="0"/>
          </w:rPr>
          <w:t xml:space="preserve">https://eur-lex.europa.eu/legal-content/EN/TXT/?uri=CELEX:32022L2464</w:t>
        </w:r>
      </w:hyperlink>
      <w:r w:rsidDel="00000000" w:rsidR="00000000" w:rsidRPr="00000000">
        <w:rPr>
          <w:rtl w:val="0"/>
        </w:rPr>
        <w:t xml:space="preserve"> </w:t>
      </w:r>
    </w:p>
  </w:footnote>
  <w:footnote w:id="1">
    <w:p w:rsidR="00000000" w:rsidDel="00000000" w:rsidP="00000000" w:rsidRDefault="00000000" w:rsidRPr="00000000" w14:paraId="00000046">
      <w:pPr>
        <w:spacing w:line="240" w:lineRule="auto"/>
        <w:rPr/>
      </w:pPr>
      <w:r w:rsidDel="00000000" w:rsidR="00000000" w:rsidRPr="00000000">
        <w:rPr>
          <w:rStyle w:val="FootnoteReference"/>
          <w:vertAlign w:val="superscript"/>
        </w:rPr>
        <w:footnoteRef/>
      </w:r>
      <w:r w:rsidDel="00000000" w:rsidR="00000000" w:rsidRPr="00000000">
        <w:rPr>
          <w:rtl w:val="0"/>
        </w:rPr>
        <w:t xml:space="preserve"> </w:t>
      </w:r>
      <w:hyperlink r:id="rId2">
        <w:r w:rsidDel="00000000" w:rsidR="00000000" w:rsidRPr="00000000">
          <w:rPr>
            <w:color w:val="1155cc"/>
            <w:u w:val="single"/>
            <w:rtl w:val="0"/>
          </w:rPr>
          <w:t xml:space="preserve">https://www.efrag.org/?AspxAutoDetectCookieSupport=1</w:t>
        </w:r>
      </w:hyperlink>
      <w:r w:rsidDel="00000000" w:rsidR="00000000" w:rsidRPr="00000000">
        <w:rPr>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Linotype" w:cs="Palatino Linotype" w:eastAsia="Palatino Linotype" w:hAnsi="Palatino Linotype"/>
        <w:color w:val="232321"/>
        <w:lang w:val="it-IT"/>
      </w:rPr>
    </w:rPrDefault>
    <w:pPrDefault>
      <w:pPr>
        <w:shd w:fill="ffffff" w:val="clea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4"/>
      <w:szCs w:val="34"/>
    </w:rPr>
  </w:style>
  <w:style w:type="paragraph" w:styleId="Heading2">
    <w:name w:val="heading 2"/>
    <w:basedOn w:val="Normal"/>
    <w:next w:val="Normal"/>
    <w:pPr>
      <w:keepNext w:val="1"/>
      <w:keepLines w:val="1"/>
      <w:spacing w:after="28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2022L2464" TargetMode="External"/><Relationship Id="rId2" Type="http://schemas.openxmlformats.org/officeDocument/2006/relationships/hyperlink" Target="https://www.efrag.org/?AspxAutoDetectCookieSuppo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4j5U3uAxTCcDEx8MVcJ6tCdfQ==">CgMxLjAyDmgucGY2dDFna2NueDV2Mg5oLjVhZXI0YjI1eHZnNDIOaC5sZ2gzN3ExczZvMjEyDmguY24wZ252czl2NDYyMg5oLnpmMnEzZTlnOTR2bTIOaC4ybm8waWljNWE0NXQyDmguOWswMjV2dnQ4MXVvMg5oLmFmbmk4cGl6NjFrNjgAakYKNXN1Z2dlc3RJZEltcG9ydDg2ZTEyMjE5LWJlODAtNGU0My04OGVhLTVmY2Q0MmQxNDVhOF84Eg1Nb25pY2EgQmlsbGlvakcKNnN1Z2dlc3RJZEltcG9ydDg2ZTEyMjE5LWJlODAtNGU0My04OGVhLTVmY2Q0MmQxNDVhOF8xMxINTW9uaWNhIEJpbGxpb2pHCjZzdWdnZXN0SWRJbXBvcnQ4NmUxMjIxOS1iZTgwLTRlNDMtODhlYS01ZmNkNDJkMTQ1YThfMTISDU1vbmljYSBCaWxsaW9qRwo2c3VnZ2VzdElkSW1wb3J0ODZlMTIyMTktYmU4MC00ZTQzLTg4ZWEtNWZjZDQyZDE0NWE4XzE1Eg1Nb25pY2EgQmlsbGlvakYKNXN1Z2dlc3RJZEltcG9ydDg2ZTEyMjE5LWJlODAtNGU0My04OGVhLTVmY2Q0MmQxNDVhOF82Eg1Nb25pY2EgQmlsbGlvakcKNnN1Z2dlc3RJZEltcG9ydDg2ZTEyMjE5LWJlODAtNGU0My04OGVhLTVmY2Q0MmQxNDVhOF8xMBINTW9uaWNhIEJpbGxpb2pGCjVzdWdnZXN0SWRJbXBvcnQ4NmUxMjIxOS1iZTgwLTRlNDMtODhlYS01ZmNkNDJkMTQ1YThfMhINTW9uaWNhIEJpbGxpb2pGCjVzdWdnZXN0SWRJbXBvcnQ4NmUxMjIxOS1iZTgwLTRlNDMtODhlYS01ZmNkNDJkMTQ1YThfMxINTW9uaWNhIEJpbGxpb2pGCjVzdWdnZXN0SWRJbXBvcnQ4NmUxMjIxOS1iZTgwLTRlNDMtODhlYS01ZmNkNDJkMTQ1YThfMRINTW9uaWNhIEJpbGxpb2pGCjVzdWdnZXN0SWRJbXBvcnQ4NmUxMjIxOS1iZTgwLTRlNDMtODhlYS01ZmNkNDJkMTQ1YThfNBINTW9uaWNhIEJpbGxpb3IhMUgxODJkV0laTXd0d1ZtS0NHdFRGdnkza2ZkbEVnU2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7f2ebd4e-dc05-45ca-9f30-69b8e8a752fb</vt:lpwstr>
  </property>
</Properties>
</file>